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1339850</wp:posOffset>
            </wp:positionH>
            <wp:positionV relativeFrom="page">
              <wp:posOffset>285750</wp:posOffset>
            </wp:positionV>
            <wp:extent cx="1638300" cy="9715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0" w:after="0"/>
        <w:ind w:left="0" w:right="0"/>
      </w:pPr>
    </w:p>
    <w:p>
      <w:pPr>
        <w:autoSpaceDN w:val="0"/>
        <w:autoSpaceDE w:val="0"/>
        <w:widowControl/>
        <w:spacing w:line="206" w:lineRule="exact" w:before="0" w:after="188"/>
        <w:ind w:left="89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LE FRONT DEMOCRATIQUE DE GUINEE - FRONDEG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4" w:type="dxa"/>
      </w:tblPr>
      <w:tblGrid>
        <w:gridCol w:w="10500" w:type="dxa"/>
      </w:tblGrid>
      <w:tr>
        <w:trPr>
          <w:trHeight w:hRule="exact" w:val="73"/>
        </w:trPr>
        <w:tc>
          <w:tcPr>
            <w:tcW w:type="dxa" w:w="10500"/>
            <w:tcBorders>
              <w:bottom w:sz="12.0" w:val="single" w:color="0C445E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44" w:lineRule="exact" w:before="498" w:after="0"/>
        <w:ind w:left="0" w:right="0" w:firstLine="0"/>
        <w:jc w:val="center"/>
      </w:pPr>
      <w:r>
        <w:rPr>
          <w:spacing w:val="-10"/>
          <w:rFonts w:ascii="Tahoma" w:hAnsi="Tahoma" w:eastAsia="Tahoma"/>
          <w:b/>
          <w:color w:val="000000"/>
          <w:sz w:val="24"/>
        </w:rPr>
        <w:t>DÉCLARATION OFFICIELLE</w:t>
      </w:r>
    </w:p>
    <w:p>
      <w:pPr>
        <w:autoSpaceDN w:val="0"/>
        <w:autoSpaceDE w:val="0"/>
        <w:widowControl/>
        <w:spacing w:line="244" w:lineRule="exact" w:before="164" w:after="0"/>
        <w:ind w:left="0" w:right="0" w:firstLine="0"/>
        <w:jc w:val="center"/>
      </w:pPr>
      <w:r>
        <w:rPr>
          <w:spacing w:val="-10"/>
          <w:rFonts w:ascii="Tahoma" w:hAnsi="Tahoma" w:eastAsia="Tahoma"/>
          <w:b/>
          <w:color w:val="000000"/>
          <w:sz w:val="24"/>
        </w:rPr>
        <w:t>RELATIVE AUX IRRÉGULARITÉS CONSTATÉES DANS LE PROCESSUS ÉLECTORAL</w:t>
      </w:r>
    </w:p>
    <w:p>
      <w:pPr>
        <w:autoSpaceDN w:val="0"/>
        <w:autoSpaceDE w:val="0"/>
        <w:widowControl/>
        <w:spacing w:line="244" w:lineRule="exact" w:before="496" w:after="0"/>
        <w:ind w:left="0" w:right="0" w:firstLine="0"/>
        <w:jc w:val="center"/>
      </w:pPr>
      <w:r>
        <w:rPr>
          <w:spacing w:val="-10"/>
          <w:rFonts w:ascii="Tahoma" w:hAnsi="Tahoma" w:eastAsia="Tahoma"/>
          <w:b/>
          <w:color w:val="000000"/>
          <w:sz w:val="24"/>
        </w:rPr>
        <w:t>ÉLECTIONS LÉGISLATIVES ET COMMUNALES du 31 mai 2026</w:t>
      </w:r>
    </w:p>
    <w:p>
      <w:pPr>
        <w:autoSpaceDN w:val="0"/>
        <w:tabs>
          <w:tab w:pos="1612" w:val="left"/>
        </w:tabs>
        <w:autoSpaceDE w:val="0"/>
        <w:widowControl/>
        <w:spacing w:line="232" w:lineRule="exact" w:before="338" w:after="0"/>
        <w:ind w:left="1252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−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Chers journalistes de la presse nationale et internationale,</w:t>
      </w:r>
    </w:p>
    <w:p>
      <w:pPr>
        <w:autoSpaceDN w:val="0"/>
        <w:tabs>
          <w:tab w:pos="1612" w:val="left"/>
        </w:tabs>
        <w:autoSpaceDE w:val="0"/>
        <w:widowControl/>
        <w:spacing w:line="218" w:lineRule="exact" w:before="0" w:after="0"/>
        <w:ind w:left="1252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−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Militantes et militants du FRONDEG,</w:t>
      </w:r>
    </w:p>
    <w:p>
      <w:pPr>
        <w:autoSpaceDN w:val="0"/>
        <w:tabs>
          <w:tab w:pos="1612" w:val="left"/>
        </w:tabs>
        <w:autoSpaceDE w:val="0"/>
        <w:widowControl/>
        <w:spacing w:line="210" w:lineRule="exact" w:before="0" w:after="0"/>
        <w:ind w:left="1252" w:right="0" w:firstLine="0"/>
        <w:jc w:val="left"/>
      </w:pPr>
      <w:r>
        <w:rPr>
          <w:spacing w:val="-10"/>
          <w:rFonts w:ascii="Symbol" w:hAnsi="Symbol" w:eastAsia="Symbol"/>
          <w:color w:val="000000"/>
          <w:sz w:val="24"/>
        </w:rPr>
        <w:t>−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Peuple de Guinée,</w:t>
      </w:r>
    </w:p>
    <w:p>
      <w:pPr>
        <w:autoSpaceDN w:val="0"/>
        <w:autoSpaceDE w:val="0"/>
        <w:widowControl/>
        <w:spacing w:line="334" w:lineRule="exact" w:before="218" w:after="0"/>
        <w:ind w:left="892" w:right="900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Nous vous remercions de votre présence à cette conférence de presse convoquée en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urgence par la direction du Front Démocratique de Guinée (FRONDEG), face à une situation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d’une gravité exceptionnelle, de nature à mettre en cause la crédibilité même du processus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électoral en République de Guinée.</w:t>
      </w:r>
    </w:p>
    <w:p>
      <w:pPr>
        <w:autoSpaceDN w:val="0"/>
        <w:autoSpaceDE w:val="0"/>
        <w:widowControl/>
        <w:spacing w:line="334" w:lineRule="exact" w:before="120" w:after="0"/>
        <w:ind w:left="892" w:right="892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Les faits que nous avons observés, documentés et que nous portons aujourd’hui à la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connaissance du public ne sauraient être assimilés à de simples irrégularités administratives.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Leur nature, leur récurrence et leur cohérence révèlent des dysfonctionnements structurels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graves, incompatibles avec les exigences d’un scrutin libre, transparent et équitable.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292" w:after="0"/>
        <w:ind w:left="1088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I. 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PRÉAMBULE</w:t>
      </w:r>
    </w:p>
    <w:p>
      <w:pPr>
        <w:autoSpaceDN w:val="0"/>
        <w:autoSpaceDE w:val="0"/>
        <w:widowControl/>
        <w:spacing w:line="290" w:lineRule="exact" w:before="448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Le FRONDEG, acteur politique engagé dans la consolidation de l’État de droit, réaffirme son</w:t>
      </w:r>
    </w:p>
    <w:p>
      <w:pPr>
        <w:autoSpaceDN w:val="0"/>
        <w:autoSpaceDE w:val="0"/>
        <w:widowControl/>
        <w:spacing w:line="200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attachement indéfectible :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7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aux principes démocratiques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34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à l’égalité des candidats devant la loi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2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à la transparence du processus électoral.</w:t>
      </w:r>
    </w:p>
    <w:p>
      <w:pPr>
        <w:autoSpaceDN w:val="0"/>
        <w:autoSpaceDE w:val="0"/>
        <w:widowControl/>
        <w:spacing w:line="334" w:lineRule="exact" w:before="198" w:after="0"/>
        <w:ind w:left="892" w:right="900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Dans ce cadre, notre parti a décidé de participer de bonne foi aux élections législatives et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communales du 31 mai 2026, en accomplissant l’ensemble des diligences requises dans les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délais légaux, tant pour la constitution que pour le dépôt des dossiers de candidature sur</w:t>
      </w:r>
    </w:p>
    <w:p>
      <w:pPr>
        <w:autoSpaceDN w:val="0"/>
        <w:autoSpaceDE w:val="0"/>
        <w:widowControl/>
        <w:spacing w:line="200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toute l’étendue du territoire national.</w:t>
      </w:r>
    </w:p>
    <w:p>
      <w:pPr>
        <w:autoSpaceDN w:val="0"/>
        <w:autoSpaceDE w:val="0"/>
        <w:widowControl/>
        <w:spacing w:line="334" w:lineRule="exact" w:before="244" w:after="0"/>
        <w:ind w:left="892" w:right="908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Toutefois, à l’issue d’une observation rigoureuse de la phase préparatoire du scrutin, le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FRONDEG se voit contraint de dénoncer un ensemble de faits graves de nature à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compromettre la sincérité du processus électoral.</w:t>
      </w:r>
    </w:p>
    <w:p>
      <w:pPr>
        <w:sectPr>
          <w:pgSz w:w="11908" w:h="16836"/>
          <w:pgMar w:top="240" w:right="240" w:bottom="166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1339850</wp:posOffset>
            </wp:positionH>
            <wp:positionV relativeFrom="page">
              <wp:posOffset>285750</wp:posOffset>
            </wp:positionV>
            <wp:extent cx="1638300" cy="9715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0" w:after="0"/>
        <w:ind w:left="0" w:right="0"/>
      </w:pPr>
    </w:p>
    <w:p>
      <w:pPr>
        <w:autoSpaceDN w:val="0"/>
        <w:autoSpaceDE w:val="0"/>
        <w:widowControl/>
        <w:spacing w:line="206" w:lineRule="exact" w:before="0" w:after="188"/>
        <w:ind w:left="89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LE FRONT DEMOCRATIQUE DE GUINEE - FRONDEG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4" w:type="dxa"/>
      </w:tblPr>
      <w:tblGrid>
        <w:gridCol w:w="10500" w:type="dxa"/>
      </w:tblGrid>
      <w:tr>
        <w:trPr>
          <w:trHeight w:hRule="exact" w:val="73"/>
        </w:trPr>
        <w:tc>
          <w:tcPr>
            <w:tcW w:type="dxa" w:w="10500"/>
            <w:tcBorders>
              <w:bottom w:sz="12.0" w:val="single" w:color="0C445E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tabs>
          <w:tab w:pos="1612" w:val="left"/>
        </w:tabs>
        <w:autoSpaceDE w:val="0"/>
        <w:widowControl/>
        <w:spacing w:line="244" w:lineRule="exact" w:before="764" w:after="0"/>
        <w:ind w:left="944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 xml:space="preserve">II. 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REJET INJUSTIFIÉ DES CANDIDATURES COMMUNALES DU FRONDEG</w:t>
      </w:r>
    </w:p>
    <w:p>
      <w:pPr>
        <w:autoSpaceDN w:val="0"/>
        <w:autoSpaceDE w:val="0"/>
        <w:widowControl/>
        <w:spacing w:line="246" w:lineRule="exact" w:before="432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Le FRONDEG a régulièrement déposé des candidatures dans plusieurs circonscriptions</w:t>
      </w:r>
    </w:p>
    <w:p>
      <w:pPr>
        <w:autoSpaceDN w:val="0"/>
        <w:autoSpaceDE w:val="0"/>
        <w:widowControl/>
        <w:spacing w:line="246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électorales du pays, dont:</w:t>
      </w:r>
    </w:p>
    <w:p>
      <w:pPr>
        <w:autoSpaceDN w:val="0"/>
        <w:tabs>
          <w:tab w:pos="1612" w:val="left"/>
        </w:tabs>
        <w:autoSpaceDE w:val="0"/>
        <w:widowControl/>
        <w:spacing w:line="186" w:lineRule="exact" w:before="200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Tombolia</w:t>
      </w:r>
    </w:p>
    <w:p>
      <w:pPr>
        <w:autoSpaceDN w:val="0"/>
        <w:tabs>
          <w:tab w:pos="1612" w:val="left"/>
        </w:tabs>
        <w:autoSpaceDE w:val="0"/>
        <w:widowControl/>
        <w:spacing w:line="230" w:lineRule="exact" w:before="208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Sanoyah</w:t>
      </w:r>
    </w:p>
    <w:p>
      <w:pPr>
        <w:autoSpaceDN w:val="0"/>
        <w:tabs>
          <w:tab w:pos="1612" w:val="left"/>
        </w:tabs>
        <w:autoSpaceDE w:val="0"/>
        <w:widowControl/>
        <w:spacing w:line="200" w:lineRule="exact" w:before="174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Manéah</w:t>
      </w:r>
    </w:p>
    <w:p>
      <w:pPr>
        <w:autoSpaceDN w:val="0"/>
        <w:tabs>
          <w:tab w:pos="1612" w:val="left"/>
        </w:tabs>
        <w:autoSpaceDE w:val="0"/>
        <w:widowControl/>
        <w:spacing w:line="178" w:lineRule="exact" w:before="26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Matam</w:t>
      </w:r>
    </w:p>
    <w:p>
      <w:pPr>
        <w:autoSpaceDN w:val="0"/>
        <w:tabs>
          <w:tab w:pos="1612" w:val="left"/>
        </w:tabs>
        <w:autoSpaceDE w:val="0"/>
        <w:widowControl/>
        <w:spacing w:line="178" w:lineRule="exact" w:before="26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Ratoma</w:t>
      </w:r>
    </w:p>
    <w:p>
      <w:pPr>
        <w:autoSpaceDN w:val="0"/>
        <w:tabs>
          <w:tab w:pos="1612" w:val="left"/>
        </w:tabs>
        <w:autoSpaceDE w:val="0"/>
        <w:widowControl/>
        <w:spacing w:line="186" w:lineRule="exact" w:before="24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Kouriah</w:t>
      </w:r>
    </w:p>
    <w:p>
      <w:pPr>
        <w:autoSpaceDN w:val="0"/>
        <w:tabs>
          <w:tab w:pos="1612" w:val="left"/>
        </w:tabs>
        <w:autoSpaceDE w:val="0"/>
        <w:widowControl/>
        <w:spacing w:line="230" w:lineRule="exact" w:before="20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Lambanyi</w:t>
      </w:r>
    </w:p>
    <w:p>
      <w:pPr>
        <w:autoSpaceDN w:val="0"/>
        <w:tabs>
          <w:tab w:pos="1612" w:val="left"/>
        </w:tabs>
        <w:autoSpaceDE w:val="0"/>
        <w:widowControl/>
        <w:spacing w:line="186" w:lineRule="exact" w:before="20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Kankan</w:t>
      </w:r>
    </w:p>
    <w:p>
      <w:pPr>
        <w:autoSpaceDN w:val="0"/>
        <w:tabs>
          <w:tab w:pos="1612" w:val="left"/>
        </w:tabs>
        <w:autoSpaceDE w:val="0"/>
        <w:widowControl/>
        <w:spacing w:line="228" w:lineRule="exact" w:before="21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Siguiri</w:t>
      </w:r>
    </w:p>
    <w:p>
      <w:pPr>
        <w:autoSpaceDN w:val="0"/>
        <w:tabs>
          <w:tab w:pos="1612" w:val="left"/>
        </w:tabs>
        <w:autoSpaceDE w:val="0"/>
        <w:widowControl/>
        <w:spacing w:line="180" w:lineRule="exact" w:before="21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Kintinian</w:t>
      </w:r>
    </w:p>
    <w:p>
      <w:pPr>
        <w:autoSpaceDN w:val="0"/>
        <w:tabs>
          <w:tab w:pos="1612" w:val="left"/>
        </w:tabs>
        <w:autoSpaceDE w:val="0"/>
        <w:widowControl/>
        <w:spacing w:line="200" w:lineRule="exact" w:before="218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Boké</w:t>
      </w:r>
    </w:p>
    <w:p>
      <w:pPr>
        <w:autoSpaceDN w:val="0"/>
        <w:tabs>
          <w:tab w:pos="1612" w:val="left"/>
        </w:tabs>
        <w:autoSpaceDE w:val="0"/>
        <w:widowControl/>
        <w:spacing w:line="232" w:lineRule="exact" w:before="20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Sangaredi</w:t>
      </w:r>
    </w:p>
    <w:p>
      <w:pPr>
        <w:autoSpaceDN w:val="0"/>
        <w:tabs>
          <w:tab w:pos="1612" w:val="left"/>
        </w:tabs>
        <w:autoSpaceDE w:val="0"/>
        <w:widowControl/>
        <w:spacing w:line="186" w:lineRule="exact" w:before="200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Tamita dans Boffa</w:t>
      </w:r>
    </w:p>
    <w:p>
      <w:pPr>
        <w:autoSpaceDN w:val="0"/>
        <w:tabs>
          <w:tab w:pos="1612" w:val="left"/>
        </w:tabs>
        <w:autoSpaceDE w:val="0"/>
        <w:widowControl/>
        <w:spacing w:line="178" w:lineRule="exact" w:before="26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Etc.</w:t>
      </w:r>
    </w:p>
    <w:p>
      <w:pPr>
        <w:autoSpaceDN w:val="0"/>
        <w:autoSpaceDE w:val="0"/>
        <w:widowControl/>
        <w:spacing w:line="290" w:lineRule="exact" w:before="288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À la publication des listes provisoires, aucune de ces candidatures n’a été retenue à date.</w:t>
      </w:r>
    </w:p>
    <w:p>
      <w:pPr>
        <w:autoSpaceDN w:val="0"/>
        <w:autoSpaceDE w:val="0"/>
        <w:widowControl/>
        <w:spacing w:line="246" w:lineRule="exact" w:before="290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Or, conformément à l’article 242 du Code électoral, tout rejet de candidature doit :</w:t>
      </w:r>
    </w:p>
    <w:p>
      <w:pPr>
        <w:autoSpaceDN w:val="0"/>
        <w:tabs>
          <w:tab w:pos="1612" w:val="left"/>
        </w:tabs>
        <w:autoSpaceDE w:val="0"/>
        <w:widowControl/>
        <w:spacing w:line="240" w:lineRule="exact" w:before="13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être motivé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3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être notifié dans un délai de dix (10) jours à compter de la date de dépôt du dossier</w:t>
      </w:r>
    </w:p>
    <w:p>
      <w:pPr>
        <w:autoSpaceDN w:val="0"/>
        <w:autoSpaceDE w:val="0"/>
        <w:widowControl/>
        <w:spacing w:line="186" w:lineRule="exact" w:before="106" w:after="0"/>
        <w:ind w:left="161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de candidature.</w:t>
      </w:r>
    </w:p>
    <w:p>
      <w:pPr>
        <w:autoSpaceDN w:val="0"/>
        <w:autoSpaceDE w:val="0"/>
        <w:widowControl/>
        <w:spacing w:line="244" w:lineRule="exact" w:before="332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En l’espèce :</w:t>
      </w:r>
    </w:p>
    <w:p>
      <w:pPr>
        <w:autoSpaceDN w:val="0"/>
        <w:tabs>
          <w:tab w:pos="1612" w:val="left"/>
        </w:tabs>
        <w:autoSpaceDE w:val="0"/>
        <w:widowControl/>
        <w:spacing w:line="238" w:lineRule="exact" w:before="13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aucune notification n’a été faite dans les délais ;</w:t>
      </w:r>
    </w:p>
    <w:p>
      <w:pPr>
        <w:sectPr>
          <w:pgSz w:w="11908" w:h="16836"/>
          <w:pgMar w:top="240" w:right="240" w:bottom="114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1339850</wp:posOffset>
            </wp:positionH>
            <wp:positionV relativeFrom="page">
              <wp:posOffset>285750</wp:posOffset>
            </wp:positionV>
            <wp:extent cx="1638300" cy="9715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0" w:after="0"/>
        <w:ind w:left="0" w:right="0"/>
      </w:pPr>
    </w:p>
    <w:p>
      <w:pPr>
        <w:autoSpaceDN w:val="0"/>
        <w:autoSpaceDE w:val="0"/>
        <w:widowControl/>
        <w:spacing w:line="206" w:lineRule="exact" w:before="0" w:after="188"/>
        <w:ind w:left="89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LE FRONT DEMOCRATIQUE DE GUINEE - FRONDEG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4" w:type="dxa"/>
      </w:tblPr>
      <w:tblGrid>
        <w:gridCol w:w="10500" w:type="dxa"/>
      </w:tblGrid>
      <w:tr>
        <w:trPr>
          <w:trHeight w:hRule="exact" w:val="73"/>
        </w:trPr>
        <w:tc>
          <w:tcPr>
            <w:tcW w:type="dxa" w:w="10500"/>
            <w:tcBorders>
              <w:bottom w:sz="12.0" w:val="single" w:color="0C445E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tabs>
          <w:tab w:pos="1612" w:val="left"/>
        </w:tabs>
        <w:autoSpaceDE w:val="0"/>
        <w:widowControl/>
        <w:spacing w:line="244" w:lineRule="exact" w:before="184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aucun motif n’a été communiqué au Parti ;</w:t>
      </w:r>
    </w:p>
    <w:p>
      <w:pPr>
        <w:autoSpaceDN w:val="0"/>
        <w:autoSpaceDE w:val="0"/>
        <w:widowControl/>
        <w:spacing w:line="246" w:lineRule="exact" w:before="288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Ces manquements constituent une violation manifeste des dispositions du code électoral.</w:t>
      </w:r>
    </w:p>
    <w:p>
      <w:pPr>
        <w:autoSpaceDN w:val="0"/>
        <w:autoSpaceDE w:val="0"/>
        <w:widowControl/>
        <w:spacing w:line="332" w:lineRule="exact" w:before="204" w:after="0"/>
        <w:ind w:left="892" w:right="896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Plus grave encore, il ressort d’informations concordantes que, postérieurement à la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publication des listes provisoires, certains démembrements de l’administration électorale ont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tenté de remettre aux mandataires des documents antidatés destinés à justifier à posteriori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les rejets.</w:t>
      </w:r>
    </w:p>
    <w:p>
      <w:pPr>
        <w:autoSpaceDN w:val="0"/>
        <w:autoSpaceDE w:val="0"/>
        <w:widowControl/>
        <w:spacing w:line="332" w:lineRule="exact" w:before="206" w:after="0"/>
        <w:ind w:left="864" w:right="864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 xml:space="preserve">De tels agissements traduisent une tentative de régularisation irrégulière d’une procédure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viciée, en violation des principes fondamentaux de sécurité juridique et de loyauté</w:t>
      </w:r>
    </w:p>
    <w:p>
      <w:pPr>
        <w:autoSpaceDN w:val="0"/>
        <w:autoSpaceDE w:val="0"/>
        <w:widowControl/>
        <w:spacing w:line="186" w:lineRule="exact" w:before="100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administrative.</w:t>
      </w:r>
    </w:p>
    <w:p>
      <w:pPr>
        <w:autoSpaceDN w:val="0"/>
        <w:autoSpaceDE w:val="0"/>
        <w:widowControl/>
        <w:spacing w:line="238" w:lineRule="exact" w:before="33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Par ailleurs, conformément aux articles 241 à 243 du Code électoral :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3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le contentieux des candidatures relève de la compétence du tribunal de première</w:t>
      </w:r>
    </w:p>
    <w:p>
      <w:pPr>
        <w:autoSpaceDN w:val="0"/>
        <w:autoSpaceDE w:val="0"/>
        <w:widowControl/>
        <w:spacing w:line="218" w:lineRule="exact" w:before="108" w:after="0"/>
        <w:ind w:left="161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instance ;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3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il est encadré par des délais impératifs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3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il suppose l’existence préalable d’une décision régulièrement notifiée.</w:t>
      </w:r>
    </w:p>
    <w:p>
      <w:pPr>
        <w:autoSpaceDN w:val="0"/>
        <w:autoSpaceDE w:val="0"/>
        <w:widowControl/>
        <w:spacing w:line="246" w:lineRule="exact" w:before="286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En l’absence de notification régulière, les délais de recours ne peuvent courir, ce qui porte</w:t>
      </w:r>
    </w:p>
    <w:p>
      <w:pPr>
        <w:autoSpaceDN w:val="0"/>
        <w:autoSpaceDE w:val="0"/>
        <w:widowControl/>
        <w:spacing w:line="188" w:lineRule="exact" w:before="98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atteinte aux droits fondamentaux des candidats.</w:t>
      </w:r>
    </w:p>
    <w:p>
      <w:pPr>
        <w:autoSpaceDN w:val="0"/>
        <w:autoSpaceDE w:val="0"/>
        <w:widowControl/>
        <w:spacing w:line="332" w:lineRule="exact" w:before="252" w:after="524"/>
        <w:ind w:left="892" w:right="906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Le FRONDEG a, en conséquence, introduit des recours devant les juridictions compétentes,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tout en se réservant le droit de dénoncer publiquement ces atteintes graves à la régularité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du processus électoral.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00" w:type="dxa"/>
      </w:tblPr>
      <w:tblGrid>
        <w:gridCol w:w="1020" w:type="dxa"/>
        <w:gridCol w:w="2360" w:type="dxa"/>
        <w:gridCol w:w="1660" w:type="dxa"/>
        <w:gridCol w:w="840" w:type="dxa"/>
        <w:gridCol w:w="1700" w:type="dxa"/>
        <w:gridCol w:w="2080" w:type="dxa"/>
        <w:gridCol w:w="920" w:type="dxa"/>
      </w:tblGrid>
      <w:tr>
        <w:trPr>
          <w:trHeight w:hRule="exact" w:val="356"/>
        </w:trPr>
        <w:tc>
          <w:tcPr>
            <w:tcW w:type="dxa" w:w="10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126" w:after="0"/>
              <w:ind w:left="0" w:right="168" w:firstLine="0"/>
              <w:jc w:val="right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III.</w:t>
            </w:r>
          </w:p>
        </w:tc>
        <w:tc>
          <w:tcPr>
            <w:tcW w:type="dxa" w:w="23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IRRÉGULARITÉS</w:t>
            </w:r>
          </w:p>
        </w:tc>
        <w:tc>
          <w:tcPr>
            <w:tcW w:type="dxa" w:w="1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2" w:lineRule="exact" w:before="122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RELATIVES</w:t>
            </w:r>
          </w:p>
        </w:tc>
        <w:tc>
          <w:tcPr>
            <w:tcW w:type="dxa" w:w="8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8" w:lineRule="exact" w:before="126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AUX</w:t>
            </w:r>
          </w:p>
        </w:tc>
        <w:tc>
          <w:tcPr>
            <w:tcW w:type="dxa" w:w="17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ÉLECTIONS</w:t>
            </w:r>
          </w:p>
        </w:tc>
        <w:tc>
          <w:tcPr>
            <w:tcW w:type="dxa" w:w="2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LÉGISLATIVES</w:t>
            </w:r>
          </w:p>
        </w:tc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74" w:lineRule="exact" w:before="126" w:after="0"/>
              <w:ind w:left="180" w:right="0" w:firstLine="0"/>
              <w:jc w:val="left"/>
            </w:pPr>
            <w:r>
              <w:rPr>
                <w:spacing w:val="-10"/>
                <w:rFonts w:ascii="Tahoma" w:hAnsi="Tahoma" w:eastAsia="Tahoma"/>
                <w:b/>
                <w:color w:val="000000"/>
                <w:sz w:val="24"/>
              </w:rPr>
              <w:t>ET</w:t>
            </w:r>
          </w:p>
        </w:tc>
      </w:tr>
    </w:tbl>
    <w:p>
      <w:pPr>
        <w:autoSpaceDN w:val="0"/>
        <w:autoSpaceDE w:val="0"/>
        <w:widowControl/>
        <w:spacing w:line="182" w:lineRule="exact" w:before="54" w:after="0"/>
        <w:ind w:left="1612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>COMMUNALES</w:t>
      </w:r>
    </w:p>
    <w:p>
      <w:pPr>
        <w:autoSpaceDN w:val="0"/>
        <w:autoSpaceDE w:val="0"/>
        <w:widowControl/>
        <w:spacing w:line="246" w:lineRule="exact" w:before="436" w:after="0"/>
        <w:ind w:left="1252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>A. Fixation irrégulière des conditions financières d’accès au scrutin</w:t>
      </w:r>
    </w:p>
    <w:p>
      <w:pPr>
        <w:autoSpaceDN w:val="0"/>
        <w:autoSpaceDE w:val="0"/>
        <w:widowControl/>
        <w:spacing w:line="336" w:lineRule="exact" w:before="292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Les conditions financières de participation aux élections ont été fixées de manière unilatérale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par les autorités compétentes, sans concertation avec les acteurs politiques.</w:t>
      </w:r>
    </w:p>
    <w:p>
      <w:pPr>
        <w:autoSpaceDN w:val="0"/>
        <w:autoSpaceDE w:val="0"/>
        <w:widowControl/>
        <w:spacing w:line="240" w:lineRule="exact" w:before="2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Or, aux termes des articles 275 et 276 du Code électoral 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3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la fixation des cautions électorales doit résulter d’un processus délibératif ;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30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elle doit être précédée de l’avis d’une commission financière pluraliste ;</w:t>
      </w:r>
    </w:p>
    <w:p>
      <w:pPr>
        <w:sectPr>
          <w:pgSz w:w="11908" w:h="16836"/>
          <w:pgMar w:top="240" w:right="240" w:bottom="14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1339850</wp:posOffset>
            </wp:positionH>
            <wp:positionV relativeFrom="page">
              <wp:posOffset>285750</wp:posOffset>
            </wp:positionV>
            <wp:extent cx="1638300" cy="9715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0" w:after="0"/>
        <w:ind w:left="0" w:right="0"/>
      </w:pPr>
    </w:p>
    <w:p>
      <w:pPr>
        <w:autoSpaceDN w:val="0"/>
        <w:autoSpaceDE w:val="0"/>
        <w:widowControl/>
        <w:spacing w:line="206" w:lineRule="exact" w:before="0" w:after="188"/>
        <w:ind w:left="89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LE FRONT DEMOCRATIQUE DE GUINEE - FRONDEG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4" w:type="dxa"/>
      </w:tblPr>
      <w:tblGrid>
        <w:gridCol w:w="10500" w:type="dxa"/>
      </w:tblGrid>
      <w:tr>
        <w:trPr>
          <w:trHeight w:hRule="exact" w:val="73"/>
        </w:trPr>
        <w:tc>
          <w:tcPr>
            <w:tcW w:type="dxa" w:w="10500"/>
            <w:tcBorders>
              <w:bottom w:sz="12.0" w:val="single" w:color="0C445E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tabs>
          <w:tab w:pos="1612" w:val="left"/>
        </w:tabs>
        <w:autoSpaceDE w:val="0"/>
        <w:widowControl/>
        <w:spacing w:line="244" w:lineRule="exact" w:before="184" w:after="228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cette commission doit inclure un représentant de chaque parti politique ou candidat.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40" w:type="dxa"/>
      </w:tblPr>
      <w:tblGrid>
        <w:gridCol w:w="3940" w:type="dxa"/>
        <w:gridCol w:w="1060" w:type="dxa"/>
        <w:gridCol w:w="5520" w:type="dxa"/>
      </w:tblGrid>
      <w:tr>
        <w:trPr>
          <w:trHeight w:hRule="exact" w:val="352"/>
        </w:trPr>
        <w:tc>
          <w:tcPr>
            <w:tcW w:type="dxa" w:w="394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6" w:lineRule="exact" w:before="80" w:after="0"/>
              <w:ind w:left="452" w:right="0" w:firstLine="0"/>
              <w:jc w:val="left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Cette exigence constitue une</w:t>
            </w:r>
          </w:p>
        </w:tc>
        <w:tc>
          <w:tcPr>
            <w:tcW w:type="dxa" w:w="10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4" w:lineRule="exact" w:before="82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garantie</w:t>
            </w:r>
          </w:p>
        </w:tc>
        <w:tc>
          <w:tcPr>
            <w:tcW w:type="dxa" w:w="55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6" w:lineRule="exact" w:before="60" w:after="0"/>
              <w:ind w:left="102" w:right="0" w:firstLine="0"/>
              <w:jc w:val="left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essentielle de transparence, d’inclusivité et</w:t>
            </w:r>
          </w:p>
        </w:tc>
      </w:tr>
    </w:tbl>
    <w:p>
      <w:pPr>
        <w:autoSpaceDN w:val="0"/>
        <w:autoSpaceDE w:val="0"/>
        <w:widowControl/>
        <w:spacing w:line="246" w:lineRule="exact" w:before="44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d’équilibre.</w:t>
      </w:r>
    </w:p>
    <w:p>
      <w:pPr>
        <w:autoSpaceDN w:val="0"/>
        <w:autoSpaceDE w:val="0"/>
        <w:widowControl/>
        <w:spacing w:line="332" w:lineRule="exact" w:before="200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En l’espèce, ces dispositions n’ont manifestement pas été respectées, ce qui entache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d’irrégularité la détermination des conditions d’accès à la compétition électorale.</w:t>
      </w:r>
    </w:p>
    <w:p>
      <w:pPr>
        <w:autoSpaceDN w:val="0"/>
        <w:autoSpaceDE w:val="0"/>
        <w:widowControl/>
        <w:spacing w:line="246" w:lineRule="exact" w:before="286" w:after="0"/>
        <w:ind w:left="1252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>B. Refus d’encaissement des cautions par l’administration compétente</w:t>
      </w:r>
    </w:p>
    <w:p>
      <w:pPr>
        <w:autoSpaceDN w:val="0"/>
        <w:autoSpaceDE w:val="0"/>
        <w:widowControl/>
        <w:spacing w:line="332" w:lineRule="exact" w:before="272" w:after="0"/>
        <w:ind w:left="892" w:right="906" w:firstLine="76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Dans plusieurs circonscriptions, des représentants dûment mandatés du FRONDEG se sont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vu refuser l’encaissement de leurs cautions par les services du Trésor public, au motif d’un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prétendu dépassement de délai.</w:t>
      </w:r>
    </w:p>
    <w:p>
      <w:pPr>
        <w:autoSpaceDN w:val="0"/>
        <w:autoSpaceDE w:val="0"/>
        <w:widowControl/>
        <w:spacing w:line="336" w:lineRule="exact" w:before="118" w:after="0"/>
        <w:ind w:left="892" w:right="906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Or, le récépissé de paiement de la caution constitue une pièce essentielle du dossier de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 xml:space="preserve">candidature. En cas d’irrégularité ou d’insuffisance, la législation électorale prévoit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expressément la possibilité de régulariser le dossier dans un délai déterminé.</w:t>
      </w:r>
    </w:p>
    <w:p>
      <w:pPr>
        <w:autoSpaceDN w:val="0"/>
        <w:autoSpaceDE w:val="0"/>
        <w:widowControl/>
        <w:spacing w:line="338" w:lineRule="exact" w:before="112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Dès lors, le refus opposé au FRONDEG a eu pour effet direct de priver le parti d’une faculté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procédurale légalement garantie, portant ainsi atteinte 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4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au principe d’égalité entre candidats ;</w:t>
      </w:r>
    </w:p>
    <w:p>
      <w:pPr>
        <w:autoSpaceDN w:val="0"/>
        <w:tabs>
          <w:tab w:pos="1612" w:val="left"/>
        </w:tabs>
        <w:autoSpaceDE w:val="0"/>
        <w:widowControl/>
        <w:spacing w:line="240" w:lineRule="exact" w:before="5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au droit à un recours effectif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5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et, plus largement, à la sécurité juridique du processus électoral.</w:t>
      </w:r>
    </w:p>
    <w:p>
      <w:pPr>
        <w:autoSpaceDN w:val="0"/>
        <w:autoSpaceDE w:val="0"/>
        <w:widowControl/>
        <w:spacing w:line="330" w:lineRule="exact" w:before="126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Une telle pratique, en ce qu’elle empêche toute régularisation, est de nature à vicier la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procédure de dépôt des candidatures.</w:t>
      </w:r>
    </w:p>
    <w:p>
      <w:pPr>
        <w:autoSpaceDN w:val="0"/>
        <w:autoSpaceDE w:val="0"/>
        <w:widowControl/>
        <w:spacing w:line="246" w:lineRule="exact" w:before="412" w:after="0"/>
        <w:ind w:left="1252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>C. Violation des règles relatives aux inéligibilités</w:t>
      </w:r>
    </w:p>
    <w:p>
      <w:pPr>
        <w:autoSpaceDN w:val="0"/>
        <w:autoSpaceDE w:val="0"/>
        <w:widowControl/>
        <w:spacing w:line="336" w:lineRule="exact" w:before="320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Aux termes de l’article 157 du Code électoral, sont inéligibles aux fonctions de député, sauf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démission ou mise en disponibilité préalable 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0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les présidents et vice-présidents des institutions de la République.</w:t>
      </w:r>
    </w:p>
    <w:p>
      <w:pPr>
        <w:autoSpaceDN w:val="0"/>
        <w:autoSpaceDE w:val="0"/>
        <w:widowControl/>
        <w:spacing w:line="246" w:lineRule="exact" w:before="266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Cette disposition est claire, impérative et ne souffre d’aucune interprétation extensive ou</w:t>
      </w:r>
    </w:p>
    <w:p>
      <w:pPr>
        <w:autoSpaceDN w:val="0"/>
        <w:autoSpaceDE w:val="0"/>
        <w:widowControl/>
        <w:spacing w:line="178" w:lineRule="exact" w:before="108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restrictive.</w:t>
      </w:r>
    </w:p>
    <w:p>
      <w:pPr>
        <w:autoSpaceDN w:val="0"/>
        <w:autoSpaceDE w:val="0"/>
        <w:widowControl/>
        <w:spacing w:line="246" w:lineRule="exact" w:before="316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Or, le Président du Conseil National de la Transition (CNT) constitue, tant en droit qu’en fait</w:t>
      </w:r>
    </w:p>
    <w:p>
      <w:pPr>
        <w:autoSpaceDN w:val="0"/>
        <w:autoSpaceDE w:val="0"/>
        <w:widowControl/>
        <w:spacing w:line="132" w:lineRule="exact" w:before="152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5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le chef d’une institution majeure de la République ;</w:t>
      </w:r>
    </w:p>
    <w:p>
      <w:pPr>
        <w:sectPr>
          <w:pgSz w:w="11908" w:h="16836"/>
          <w:pgMar w:top="240" w:right="240" w:bottom="168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1339850</wp:posOffset>
            </wp:positionH>
            <wp:positionV relativeFrom="page">
              <wp:posOffset>285750</wp:posOffset>
            </wp:positionV>
            <wp:extent cx="1638300" cy="9715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0" w:after="0"/>
        <w:ind w:left="0" w:right="0"/>
      </w:pPr>
    </w:p>
    <w:p>
      <w:pPr>
        <w:autoSpaceDN w:val="0"/>
        <w:autoSpaceDE w:val="0"/>
        <w:widowControl/>
        <w:spacing w:line="206" w:lineRule="exact" w:before="0" w:after="188"/>
        <w:ind w:left="89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LE FRONT DEMOCRATIQUE DE GUINEE - FRONDEG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4" w:type="dxa"/>
      </w:tblPr>
      <w:tblGrid>
        <w:gridCol w:w="10500" w:type="dxa"/>
      </w:tblGrid>
      <w:tr>
        <w:trPr>
          <w:trHeight w:hRule="exact" w:val="73"/>
        </w:trPr>
        <w:tc>
          <w:tcPr>
            <w:tcW w:type="dxa" w:w="10500"/>
            <w:tcBorders>
              <w:bottom w:sz="12.0" w:val="single" w:color="0C445E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tabs>
          <w:tab w:pos="1612" w:val="left"/>
        </w:tabs>
        <w:autoSpaceDE w:val="0"/>
        <w:widowControl/>
        <w:spacing w:line="246" w:lineRule="exact" w:before="18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l’autorité dirigeante de l’organe exerçant les fonctions législatives en période de</w:t>
      </w:r>
    </w:p>
    <w:p>
      <w:pPr>
        <w:autoSpaceDN w:val="0"/>
        <w:autoSpaceDE w:val="0"/>
        <w:widowControl/>
        <w:spacing w:line="218" w:lineRule="exact" w:before="108" w:after="0"/>
        <w:ind w:left="161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transition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1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le détenteur, à titre temporaire, de l’autorité législative en l’absence d’une Assemblée</w:t>
      </w:r>
    </w:p>
    <w:p>
      <w:pPr>
        <w:autoSpaceDN w:val="0"/>
        <w:autoSpaceDE w:val="0"/>
        <w:widowControl/>
        <w:spacing w:line="200" w:lineRule="exact" w:before="86" w:after="0"/>
        <w:ind w:left="161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nationale élue.</w:t>
      </w:r>
    </w:p>
    <w:p>
      <w:pPr>
        <w:autoSpaceDN w:val="0"/>
        <w:autoSpaceDE w:val="0"/>
        <w:widowControl/>
        <w:spacing w:line="290" w:lineRule="exact" w:before="268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À ce titre, il entre nécessairement dans le champ des incompatibilités prévues par l’article</w:t>
      </w:r>
    </w:p>
    <w:p>
      <w:pPr>
        <w:autoSpaceDN w:val="0"/>
        <w:autoSpaceDE w:val="0"/>
        <w:widowControl/>
        <w:spacing w:line="246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157 précité.</w:t>
      </w:r>
    </w:p>
    <w:p>
      <w:pPr>
        <w:autoSpaceDN w:val="0"/>
        <w:autoSpaceDE w:val="0"/>
        <w:widowControl/>
        <w:spacing w:line="244" w:lineRule="exact" w:before="272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En conséquence, toute validation d’une candidature en violation de cette disposition</w:t>
      </w:r>
    </w:p>
    <w:p>
      <w:pPr>
        <w:autoSpaceDN w:val="0"/>
        <w:autoSpaceDE w:val="0"/>
        <w:widowControl/>
        <w:spacing w:line="180" w:lineRule="exact" w:before="108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constitue 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5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une atteinte grave au principe de légalité électorale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10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une rupture d’égalité entre les candidats ;</w:t>
      </w:r>
    </w:p>
    <w:p>
      <w:pPr>
        <w:autoSpaceDN w:val="0"/>
        <w:tabs>
          <w:tab w:pos="1612" w:val="left"/>
        </w:tabs>
        <w:autoSpaceDE w:val="0"/>
        <w:widowControl/>
        <w:spacing w:line="288" w:lineRule="exact" w:before="20" w:after="208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et un précédent dangereux pour l’État de droit.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440" w:type="dxa"/>
      </w:tblPr>
      <w:tblGrid>
        <w:gridCol w:w="920" w:type="dxa"/>
        <w:gridCol w:w="1080" w:type="dxa"/>
        <w:gridCol w:w="460" w:type="dxa"/>
        <w:gridCol w:w="820" w:type="dxa"/>
        <w:gridCol w:w="600" w:type="dxa"/>
        <w:gridCol w:w="1560" w:type="dxa"/>
        <w:gridCol w:w="1660" w:type="dxa"/>
        <w:gridCol w:w="800" w:type="dxa"/>
        <w:gridCol w:w="320" w:type="dxa"/>
        <w:gridCol w:w="1500" w:type="dxa"/>
        <w:gridCol w:w="800" w:type="dxa"/>
      </w:tblGrid>
      <w:tr>
        <w:trPr>
          <w:trHeight w:hRule="exact" w:val="350"/>
        </w:trPr>
        <w:tc>
          <w:tcPr>
            <w:tcW w:type="dxa" w:w="9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74" w:after="0"/>
              <w:ind w:left="0" w:right="94" w:firstLine="0"/>
              <w:jc w:val="right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Elle</w:t>
            </w:r>
          </w:p>
        </w:tc>
        <w:tc>
          <w:tcPr>
            <w:tcW w:type="dxa" w:w="108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soulève,</w:t>
            </w:r>
          </w:p>
        </w:tc>
        <w:tc>
          <w:tcPr>
            <w:tcW w:type="dxa" w:w="4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22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en</w:t>
            </w:r>
          </w:p>
        </w:tc>
        <w:tc>
          <w:tcPr>
            <w:tcW w:type="dxa" w:w="8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2" w:lineRule="exact" w:before="88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outre,</w:t>
            </w:r>
          </w:p>
        </w:tc>
        <w:tc>
          <w:tcPr>
            <w:tcW w:type="dxa" w:w="6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38" w:lineRule="exact" w:before="122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une</w:t>
            </w:r>
          </w:p>
        </w:tc>
        <w:tc>
          <w:tcPr>
            <w:tcW w:type="dxa" w:w="15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26" w:lineRule="exact" w:before="8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interrogation</w:t>
            </w:r>
          </w:p>
        </w:tc>
        <w:tc>
          <w:tcPr>
            <w:tcW w:type="dxa" w:w="166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8" w:lineRule="exact" w:before="72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fondamentale</w:t>
            </w:r>
          </w:p>
        </w:tc>
        <w:tc>
          <w:tcPr>
            <w:tcW w:type="dxa" w:w="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16" w:lineRule="exact" w:before="88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quant</w:t>
            </w:r>
          </w:p>
        </w:tc>
        <w:tc>
          <w:tcPr>
            <w:tcW w:type="dxa" w:w="32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00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à</w:t>
            </w:r>
          </w:p>
        </w:tc>
        <w:tc>
          <w:tcPr>
            <w:tcW w:type="dxa" w:w="15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244" w:lineRule="exact" w:before="60" w:after="0"/>
              <w:ind w:left="0" w:right="0" w:firstLine="0"/>
              <w:jc w:val="center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l’impartialité</w:t>
            </w:r>
          </w:p>
        </w:tc>
        <w:tc>
          <w:tcPr>
            <w:tcW w:type="dxa" w:w="800"/>
            <w:tcBorders/>
            <w:tcMar>
              <w:left w:w="0" w:type="dxa"/>
              <w:right w:w="0" w:type="dxa"/>
            </w:tcMar>
          </w:tcPr>
          <w:p>
            <w:pPr>
              <w:autoSpaceDN w:val="0"/>
              <w:autoSpaceDE w:val="0"/>
              <w:widowControl/>
              <w:spacing w:line="186" w:lineRule="exact" w:before="74" w:after="0"/>
              <w:ind w:left="106" w:right="0" w:firstLine="0"/>
              <w:jc w:val="left"/>
            </w:pPr>
            <w:r>
              <w:rPr>
                <w:spacing w:val="-10"/>
                <w:rFonts w:ascii="Tahoma" w:hAnsi="Tahoma" w:eastAsia="Tahoma"/>
                <w:color w:val="000000"/>
                <w:sz w:val="24"/>
              </w:rPr>
              <w:t>de</w:t>
            </w:r>
          </w:p>
        </w:tc>
      </w:tr>
    </w:tbl>
    <w:p>
      <w:pPr>
        <w:autoSpaceDN w:val="0"/>
        <w:autoSpaceDE w:val="0"/>
        <w:widowControl/>
        <w:spacing w:line="200" w:lineRule="exact" w:before="42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l’administration électorale :</w:t>
      </w:r>
    </w:p>
    <w:p>
      <w:pPr>
        <w:autoSpaceDN w:val="0"/>
        <w:autoSpaceDE w:val="0"/>
        <w:widowControl/>
        <w:spacing w:line="244" w:lineRule="exact" w:before="316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La loi électorale est-elle appliquée de manière uniforme à l’ensemble des acteurs politiques</w:t>
      </w:r>
    </w:p>
    <w:p>
      <w:pPr>
        <w:autoSpaceDN w:val="0"/>
        <w:autoSpaceDE w:val="0"/>
        <w:widowControl/>
        <w:spacing w:line="178" w:lineRule="exact" w:before="10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?</w:t>
      </w:r>
    </w:p>
    <w:p>
      <w:pPr>
        <w:autoSpaceDN w:val="0"/>
        <w:tabs>
          <w:tab w:pos="1612" w:val="left"/>
        </w:tabs>
        <w:autoSpaceDE w:val="0"/>
        <w:widowControl/>
        <w:spacing w:line="224" w:lineRule="exact" w:before="208" w:after="0"/>
        <w:ind w:left="928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2"/>
        </w:rPr>
        <w:t xml:space="preserve">IV. </w:t>
      </w:r>
      <w:r>
        <w:tab/>
      </w:r>
      <w:r>
        <w:rPr>
          <w:spacing w:val="-10"/>
          <w:rFonts w:ascii="Tahoma" w:hAnsi="Tahoma" w:eastAsia="Tahoma"/>
          <w:b/>
          <w:color w:val="000000"/>
          <w:sz w:val="22"/>
        </w:rPr>
        <w:t>ANALYSE GÉNÉRALE ET POSITION DU PARTI</w:t>
      </w:r>
    </w:p>
    <w:p>
      <w:pPr>
        <w:autoSpaceDN w:val="0"/>
        <w:autoSpaceDE w:val="0"/>
        <w:widowControl/>
        <w:spacing w:line="330" w:lineRule="exact" w:before="224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L’accumulation, la répétition et la convergence des irrégularités relevées ne sauraient être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analysées comme de simples incidents isolés.</w:t>
      </w:r>
    </w:p>
    <w:p>
      <w:pPr>
        <w:autoSpaceDN w:val="0"/>
        <w:autoSpaceDE w:val="0"/>
        <w:widowControl/>
        <w:spacing w:line="330" w:lineRule="exact" w:before="184" w:after="0"/>
        <w:ind w:left="892" w:right="864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 xml:space="preserve">Elles révèlent, au contraire, des dysfonctionnements structurels graves, susceptibles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d’altérer substantiellement la transparence et la sincérité du processus électoral.</w:t>
      </w:r>
    </w:p>
    <w:p>
      <w:pPr>
        <w:autoSpaceDN w:val="0"/>
        <w:autoSpaceDE w:val="0"/>
        <w:widowControl/>
        <w:spacing w:line="332" w:lineRule="exact" w:before="186" w:after="0"/>
        <w:ind w:left="892" w:right="908" w:firstLine="0"/>
        <w:jc w:val="both"/>
      </w:pPr>
      <w:r>
        <w:rPr>
          <w:spacing w:val="-10"/>
          <w:rFonts w:ascii="Tahoma" w:hAnsi="Tahoma" w:eastAsia="Tahoma"/>
          <w:color w:val="000000"/>
          <w:sz w:val="24"/>
        </w:rPr>
        <w:t xml:space="preserve">Une élection dont la phase préparatoire est entachée de violations répétées des règles de 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droit ne peut, en l’état, garantir l’expression libre, sincère et authentique de la volonté</w:t>
      </w:r>
      <w:r>
        <w:br/>
      </w:r>
      <w:r>
        <w:rPr>
          <w:spacing w:val="-10"/>
          <w:rFonts w:ascii="Tahoma" w:hAnsi="Tahoma" w:eastAsia="Tahoma"/>
          <w:color w:val="000000"/>
          <w:sz w:val="24"/>
        </w:rPr>
        <w:t>populaire.</w:t>
      </w:r>
    </w:p>
    <w:p>
      <w:pPr>
        <w:autoSpaceDN w:val="0"/>
        <w:tabs>
          <w:tab w:pos="1612" w:val="left"/>
        </w:tabs>
        <w:autoSpaceDE w:val="0"/>
        <w:widowControl/>
        <w:spacing w:line="182" w:lineRule="exact" w:before="282" w:after="0"/>
        <w:ind w:left="1016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 xml:space="preserve">V. 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POSITION DU PARTI</w:t>
      </w:r>
    </w:p>
    <w:p>
      <w:pPr>
        <w:autoSpaceDN w:val="0"/>
        <w:autoSpaceDE w:val="0"/>
        <w:widowControl/>
        <w:spacing w:line="246" w:lineRule="exact" w:before="312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Au regard de ce qui précède, le FRONDEG appelle solennellement les autorités compétentes</w:t>
      </w:r>
    </w:p>
    <w:p>
      <w:pPr>
        <w:autoSpaceDN w:val="0"/>
        <w:autoSpaceDE w:val="0"/>
        <w:widowControl/>
        <w:spacing w:line="200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à 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5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rétablir la légalité du processus électoral ;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1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garantir l’égalité de traitement de l’ensemble des candidats ;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08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assurer la transparence et la crédibilité des opérations électorales.</w:t>
      </w:r>
    </w:p>
    <w:p>
      <w:pPr>
        <w:sectPr>
          <w:pgSz w:w="11908" w:h="16836"/>
          <w:pgMar w:top="240" w:right="240" w:bottom="126" w:left="24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1339850</wp:posOffset>
            </wp:positionH>
            <wp:positionV relativeFrom="page">
              <wp:posOffset>285750</wp:posOffset>
            </wp:positionV>
            <wp:extent cx="1638300" cy="9715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971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0" w:after="0"/>
        <w:ind w:left="0" w:right="0"/>
      </w:pPr>
    </w:p>
    <w:p>
      <w:pPr>
        <w:autoSpaceDN w:val="0"/>
        <w:autoSpaceDE w:val="0"/>
        <w:widowControl/>
        <w:spacing w:line="220" w:lineRule="exact" w:before="150" w:after="0"/>
        <w:ind w:left="0" w:right="0"/>
      </w:pPr>
    </w:p>
    <w:p>
      <w:pPr>
        <w:autoSpaceDN w:val="0"/>
        <w:autoSpaceDE w:val="0"/>
        <w:widowControl/>
        <w:spacing w:line="206" w:lineRule="exact" w:before="0" w:after="188"/>
        <w:ind w:left="892" w:right="0" w:firstLine="0"/>
        <w:jc w:val="left"/>
      </w:pPr>
      <w:r>
        <w:rPr>
          <w:spacing w:val="-10"/>
          <w:rFonts w:ascii="Times New Roman" w:hAnsi="Times New Roman" w:eastAsia="Times New Roman"/>
          <w:b/>
          <w:color w:val="000000"/>
          <w:sz w:val="24"/>
        </w:rPr>
        <w:t>LE FRONT DEMOCRATIQUE DE GUINEE - FRONDEG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374" w:type="dxa"/>
      </w:tblPr>
      <w:tblGrid>
        <w:gridCol w:w="10500" w:type="dxa"/>
      </w:tblGrid>
      <w:tr>
        <w:trPr>
          <w:trHeight w:hRule="exact" w:val="73"/>
        </w:trPr>
        <w:tc>
          <w:tcPr>
            <w:tcW w:type="dxa" w:w="10500"/>
            <w:tcBorders>
              <w:bottom w:sz="12.0" w:val="single" w:color="0C445E"/>
            </w:tcBorders>
            <w:tcMar>
              <w:left w:w="0" w:type="dxa"/>
              <w:right w:w="0" w:type="dxa"/>
            </w:tcMar>
          </w:tcPr>
          <w:p/>
        </w:tc>
      </w:tr>
    </w:tbl>
    <w:p>
      <w:pPr>
        <w:autoSpaceDN w:val="0"/>
        <w:autoSpaceDE w:val="0"/>
        <w:widowControl/>
        <w:spacing w:line="290" w:lineRule="exact" w:before="298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À défaut de correction diligente de ces irrégularités, le FRONDEG se réserve le droit:</w:t>
      </w:r>
    </w:p>
    <w:p>
      <w:pPr>
        <w:autoSpaceDN w:val="0"/>
        <w:tabs>
          <w:tab w:pos="1612" w:val="left"/>
        </w:tabs>
        <w:autoSpaceDE w:val="0"/>
        <w:widowControl/>
        <w:spacing w:line="246" w:lineRule="exact" w:before="106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de tirer toutes les conséquences politiques qui s’imposent, y compris son retrait du</w:t>
      </w:r>
    </w:p>
    <w:p>
      <w:pPr>
        <w:autoSpaceDN w:val="0"/>
        <w:autoSpaceDE w:val="0"/>
        <w:widowControl/>
        <w:spacing w:line="246" w:lineRule="exact" w:before="90" w:after="0"/>
        <w:ind w:left="161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processus électoral en cours.</w:t>
      </w:r>
    </w:p>
    <w:p>
      <w:pPr>
        <w:autoSpaceDN w:val="0"/>
        <w:autoSpaceDE w:val="0"/>
        <w:widowControl/>
        <w:spacing w:line="246" w:lineRule="exact" w:before="266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Car il ne saurait être admis que les normes juridiques, parfois élaborées par les acteurs eux-</w:t>
      </w:r>
    </w:p>
    <w:p>
      <w:pPr>
        <w:autoSpaceDN w:val="0"/>
        <w:autoSpaceDE w:val="0"/>
        <w:widowControl/>
        <w:spacing w:line="246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mêmes, soient méconnues ou détournées dans leur application.</w:t>
      </w:r>
    </w:p>
    <w:p>
      <w:pPr>
        <w:autoSpaceDN w:val="0"/>
        <w:autoSpaceDE w:val="0"/>
        <w:widowControl/>
        <w:spacing w:line="232" w:lineRule="exact" w:before="280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Une telle situation appelle une interrogation essentielle :</w:t>
      </w:r>
    </w:p>
    <w:p>
      <w:pPr>
        <w:autoSpaceDN w:val="0"/>
        <w:autoSpaceDE w:val="0"/>
        <w:widowControl/>
        <w:spacing w:line="290" w:lineRule="exact" w:before="228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Sur quel fondement juridique, politique et moral peut-on prétendre organiser l’État, si les</w:t>
      </w:r>
    </w:p>
    <w:p>
      <w:pPr>
        <w:autoSpaceDN w:val="0"/>
        <w:autoSpaceDE w:val="0"/>
        <w:widowControl/>
        <w:spacing w:line="246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règles qui le structurent sont elles-mêmes violées ?</w:t>
      </w:r>
    </w:p>
    <w:p>
      <w:pPr>
        <w:autoSpaceDN w:val="0"/>
        <w:autoSpaceDE w:val="0"/>
        <w:widowControl/>
        <w:spacing w:line="246" w:lineRule="exact" w:before="266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Le respect de la sécurité juridique, de la transparence et de l’égalité devant la loi ne constitue</w:t>
      </w:r>
    </w:p>
    <w:p>
      <w:pPr>
        <w:autoSpaceDN w:val="0"/>
        <w:autoSpaceDE w:val="0"/>
        <w:widowControl/>
        <w:spacing w:line="290" w:lineRule="exact" w:before="4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pas une option, mais une exigence fondamentale de tout État de droit.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388" w:after="0"/>
        <w:ind w:left="900" w:right="0" w:firstLine="0"/>
        <w:jc w:val="left"/>
      </w:pPr>
      <w:r>
        <w:rPr>
          <w:spacing w:val="-10"/>
          <w:rFonts w:ascii="Tahoma" w:hAnsi="Tahoma" w:eastAsia="Tahoma"/>
          <w:b/>
          <w:color w:val="000000"/>
          <w:sz w:val="24"/>
        </w:rPr>
        <w:t xml:space="preserve">VI. </w:t>
      </w:r>
      <w:r>
        <w:tab/>
      </w:r>
      <w:r>
        <w:rPr>
          <w:spacing w:val="-10"/>
          <w:rFonts w:ascii="Tahoma" w:hAnsi="Tahoma" w:eastAsia="Tahoma"/>
          <w:b/>
          <w:color w:val="000000"/>
          <w:sz w:val="24"/>
        </w:rPr>
        <w:t>APPEL À LA RESPONSABILITÉ</w:t>
      </w:r>
    </w:p>
    <w:p>
      <w:pPr>
        <w:autoSpaceDN w:val="0"/>
        <w:autoSpaceDE w:val="0"/>
        <w:widowControl/>
        <w:spacing w:line="246" w:lineRule="exact" w:before="400" w:after="0"/>
        <w:ind w:left="0" w:right="0" w:firstLine="0"/>
        <w:jc w:val="center"/>
      </w:pPr>
      <w:r>
        <w:rPr>
          <w:spacing w:val="-10"/>
          <w:rFonts w:ascii="Tahoma" w:hAnsi="Tahoma" w:eastAsia="Tahoma"/>
          <w:color w:val="000000"/>
          <w:sz w:val="24"/>
        </w:rPr>
        <w:t>Le FRONDEG réaffirme son engagement en faveur d’un processus démocratique apaisé,</w:t>
      </w:r>
    </w:p>
    <w:p>
      <w:pPr>
        <w:autoSpaceDN w:val="0"/>
        <w:autoSpaceDE w:val="0"/>
        <w:widowControl/>
        <w:spacing w:line="244" w:lineRule="exact" w:before="86" w:after="0"/>
        <w:ind w:left="89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fondé sur le respect des lois et des institutions de la République.</w:t>
      </w:r>
    </w:p>
    <w:p>
      <w:pPr>
        <w:autoSpaceDN w:val="0"/>
        <w:autoSpaceDE w:val="0"/>
        <w:widowControl/>
        <w:spacing w:line="246" w:lineRule="exact" w:before="268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Il continuera d’agir par des moyens légaux, pacifiques et responsables pour la défense</w:t>
      </w:r>
    </w:p>
    <w:p>
      <w:pPr>
        <w:autoSpaceDN w:val="0"/>
        <w:autoSpaceDE w:val="0"/>
        <w:widowControl/>
        <w:spacing w:line="246" w:lineRule="exact" w:before="90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de la souveraineté du peuple guinéen.</w:t>
      </w:r>
    </w:p>
    <w:p>
      <w:pPr>
        <w:autoSpaceDN w:val="0"/>
        <w:autoSpaceDE w:val="0"/>
        <w:widowControl/>
        <w:spacing w:line="230" w:lineRule="exact" w:before="280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Le parti appelle ses militantes et militants :</w:t>
      </w:r>
    </w:p>
    <w:p>
      <w:pPr>
        <w:autoSpaceDN w:val="0"/>
        <w:tabs>
          <w:tab w:pos="1612" w:val="left"/>
        </w:tabs>
        <w:autoSpaceDE w:val="0"/>
        <w:widowControl/>
        <w:spacing w:line="226" w:lineRule="exact" w:before="14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au calme ;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18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à la discipline ;</w:t>
      </w:r>
    </w:p>
    <w:p>
      <w:pPr>
        <w:autoSpaceDN w:val="0"/>
        <w:tabs>
          <w:tab w:pos="1612" w:val="left"/>
        </w:tabs>
        <w:autoSpaceDE w:val="0"/>
        <w:widowControl/>
        <w:spacing w:line="244" w:lineRule="exact" w:before="112" w:after="0"/>
        <w:ind w:left="1252" w:right="0" w:firstLine="0"/>
        <w:jc w:val="left"/>
      </w:pPr>
      <w:r>
        <w:rPr>
          <w:spacing w:val="-10"/>
          <w:rFonts w:ascii="Times New Roman" w:hAnsi="Times New Roman" w:eastAsia="Times New Roman"/>
          <w:color w:val="000000"/>
          <w:sz w:val="20"/>
        </w:rPr>
        <w:t>●</w:t>
      </w:r>
      <w:r>
        <w:tab/>
      </w:r>
      <w:r>
        <w:rPr>
          <w:spacing w:val="-10"/>
          <w:rFonts w:ascii="Tahoma" w:hAnsi="Tahoma" w:eastAsia="Tahoma"/>
          <w:color w:val="000000"/>
          <w:sz w:val="24"/>
        </w:rPr>
        <w:t>et au respect des institutions républicaines.</w:t>
      </w:r>
    </w:p>
    <w:p>
      <w:pPr>
        <w:autoSpaceDN w:val="0"/>
        <w:autoSpaceDE w:val="0"/>
        <w:widowControl/>
        <w:spacing w:line="244" w:lineRule="exact" w:before="268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Toutefois, qu’il soit clairement établi que le FRONDEG mobilisera l’ensemble de ses</w:t>
      </w:r>
    </w:p>
    <w:p>
      <w:pPr>
        <w:autoSpaceDN w:val="0"/>
        <w:autoSpaceDE w:val="0"/>
        <w:widowControl/>
        <w:spacing w:line="246" w:lineRule="exact" w:before="88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ressources intellectuelles, juridiques et stratégiques pour faire valoir ses droits jusqu’à</w:t>
      </w:r>
    </w:p>
    <w:p>
      <w:pPr>
        <w:autoSpaceDN w:val="0"/>
        <w:autoSpaceDE w:val="0"/>
        <w:widowControl/>
        <w:spacing w:line="232" w:lineRule="exact" w:before="104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leur pleine reconnaissance.</w:t>
      </w:r>
    </w:p>
    <w:p>
      <w:pPr>
        <w:autoSpaceDN w:val="0"/>
        <w:autoSpaceDE w:val="0"/>
        <w:widowControl/>
        <w:spacing w:line="232" w:lineRule="exact" w:before="280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Parce que, quelles que soient les circonstances, le FRONDEG incarne une alternative</w:t>
      </w:r>
    </w:p>
    <w:p>
      <w:pPr>
        <w:autoSpaceDN w:val="0"/>
        <w:autoSpaceDE w:val="0"/>
        <w:widowControl/>
        <w:spacing w:line="244" w:lineRule="exact" w:before="42" w:after="0"/>
        <w:ind w:left="1252" w:right="0" w:firstLine="0"/>
        <w:jc w:val="left"/>
      </w:pPr>
      <w:r>
        <w:rPr>
          <w:spacing w:val="-10"/>
          <w:rFonts w:ascii="Tahoma" w:hAnsi="Tahoma" w:eastAsia="Tahoma"/>
          <w:color w:val="000000"/>
          <w:sz w:val="24"/>
        </w:rPr>
        <w:t>crédible au service de la démocratie et de l’État de droit.</w:t>
      </w:r>
    </w:p>
    <w:p>
      <w:pPr>
        <w:autoSpaceDN w:val="0"/>
        <w:autoSpaceDE w:val="0"/>
        <w:widowControl/>
        <w:spacing w:line="230" w:lineRule="exact" w:before="844" w:after="0"/>
        <w:ind w:left="0" w:right="1460" w:firstLine="0"/>
        <w:jc w:val="right"/>
      </w:pPr>
      <w:r>
        <w:rPr>
          <w:spacing w:val="-10"/>
          <w:rFonts w:ascii="Tahoma" w:hAnsi="Tahoma" w:eastAsia="Tahoma"/>
          <w:i/>
          <w:color w:val="000000"/>
          <w:sz w:val="24"/>
        </w:rPr>
        <w:t>Conakry, le 25 avril 2026</w:t>
      </w:r>
    </w:p>
    <w:p>
      <w:pPr>
        <w:autoSpaceDN w:val="0"/>
        <w:autoSpaceDE w:val="0"/>
        <w:widowControl/>
        <w:spacing w:line="182" w:lineRule="exact" w:before="286" w:after="0"/>
        <w:ind w:left="0" w:right="2110" w:firstLine="0"/>
        <w:jc w:val="right"/>
      </w:pPr>
      <w:r>
        <w:rPr>
          <w:spacing w:val="-10"/>
          <w:rFonts w:ascii="Tahoma" w:hAnsi="Tahoma" w:eastAsia="Tahoma"/>
          <w:b/>
          <w:color w:val="000000"/>
          <w:sz w:val="24"/>
        </w:rPr>
        <w:t>Le FRONDEG</w:t>
      </w:r>
    </w:p>
    <w:sectPr w:rsidR="00FC693F" w:rsidRPr="0006063C" w:rsidSect="00034616">
      <w:pgSz w:w="11908" w:h="16836"/>
      <w:pgMar w:top="240" w:right="240" w:bottom="162" w:left="24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